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C6591" w14:paraId="11017C7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3561C0" w14:textId="77777777" w:rsidR="00AC6591" w:rsidRDefault="00124CA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0F3B8B3" w14:textId="77777777" w:rsidR="00AC6591" w:rsidRDefault="00124CA7">
            <w:pPr>
              <w:spacing w:after="0" w:line="240" w:lineRule="auto"/>
            </w:pPr>
            <w:r>
              <w:t>16481</w:t>
            </w:r>
          </w:p>
        </w:tc>
      </w:tr>
      <w:tr w:rsidR="00AC6591" w14:paraId="54992D3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1118CF" w14:textId="77777777" w:rsidR="00AC6591" w:rsidRDefault="00124CA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7F1716E" w14:textId="77777777" w:rsidR="00AC6591" w:rsidRDefault="00124CA7">
            <w:pPr>
              <w:spacing w:after="0" w:line="240" w:lineRule="auto"/>
            </w:pPr>
            <w:r>
              <w:t>ZRAKOPLOVNA TEHNIČKA ŠKOLA RUDOLFA PEREŠINA</w:t>
            </w:r>
          </w:p>
        </w:tc>
      </w:tr>
      <w:tr w:rsidR="00AC6591" w14:paraId="46693EC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68EC1E" w14:textId="77777777" w:rsidR="00AC6591" w:rsidRDefault="00124CA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B36F531" w14:textId="77777777" w:rsidR="00AC6591" w:rsidRDefault="00124CA7">
            <w:pPr>
              <w:spacing w:after="0" w:line="240" w:lineRule="auto"/>
            </w:pPr>
            <w:r>
              <w:t>31</w:t>
            </w:r>
          </w:p>
        </w:tc>
      </w:tr>
    </w:tbl>
    <w:p w14:paraId="4E9A3A4C" w14:textId="77777777" w:rsidR="00AC6591" w:rsidRDefault="00124CA7">
      <w:r>
        <w:br/>
      </w:r>
    </w:p>
    <w:p w14:paraId="0DBB65EE" w14:textId="77777777" w:rsidR="00AC6591" w:rsidRDefault="00124CA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94219A6" w14:textId="77777777" w:rsidR="00AC6591" w:rsidRDefault="00124CA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7DEEC5E" w14:textId="77777777" w:rsidR="00AC6591" w:rsidRDefault="00124CA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E1E9DAD" w14:textId="77777777" w:rsidR="00AC6591" w:rsidRDefault="00AC6591"/>
    <w:p w14:paraId="6793D348" w14:textId="77777777" w:rsidR="00AC6591" w:rsidRDefault="00124CA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D1D5E67" w14:textId="77777777" w:rsidR="00AC6591" w:rsidRDefault="00124CA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C6591" w14:paraId="5ED7F8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B68D0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0D3C5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90F19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50674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557D9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7F328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591" w14:paraId="4201D1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1946F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883A52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22705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FAC62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1.250.418,88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4DC9B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1.208.606,12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FF836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96,7</w:t>
            </w:r>
          </w:p>
        </w:tc>
      </w:tr>
      <w:tr w:rsidR="00AC6591" w14:paraId="119F0F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2E04C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3B6DA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A8A9B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44C1A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1.116.817,48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8670D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1.288.661,21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61CE3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  <w:tr w:rsidR="00AC6591" w14:paraId="0151F6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03BDD" w14:textId="77777777" w:rsidR="00AC6591" w:rsidRDefault="00AC65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D5493A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71BE5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61AB3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B1E32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80.055,09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21D7C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C6591" w14:paraId="4560B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D741D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3C419E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</w:t>
            </w:r>
            <w:r>
              <w:rPr>
                <w:sz w:val="18"/>
              </w:rPr>
              <w:t>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E41D6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076BF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86C94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A58E2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6591" w14:paraId="6CD1D0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F89AC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15EF4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49DD1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73969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104.429,62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24CDB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B53FC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</w:t>
            </w:r>
          </w:p>
        </w:tc>
      </w:tr>
      <w:tr w:rsidR="00AC6591" w14:paraId="5D99BC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84776" w14:textId="77777777" w:rsidR="00AC6591" w:rsidRDefault="00AC65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4A5CB2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308E8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989DE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104.429,62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ADE77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6.474,21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56CBF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6,2</w:t>
            </w:r>
          </w:p>
        </w:tc>
      </w:tr>
      <w:tr w:rsidR="00AC6591" w14:paraId="29331F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E3753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D5EEC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</w:t>
            </w:r>
            <w:r>
              <w:rPr>
                <w:sz w:val="18"/>
              </w:rPr>
              <w:t>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F2947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F3C59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AE01C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47617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6591" w14:paraId="1F936F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5C497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39DFC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0B12D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9E317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9B7BA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A5AA0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6591" w14:paraId="5481A3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A0C6C" w14:textId="77777777" w:rsidR="00AC6591" w:rsidRDefault="00AC65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FB7AF4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8B5E2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697BD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7F211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E7029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C6591" w14:paraId="626F8E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FC71D" w14:textId="77777777" w:rsidR="00AC6591" w:rsidRDefault="00AC65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652AA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E2743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51792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61AE5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86.529,30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2C1BF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CB24E73" w14:textId="77777777" w:rsidR="00AC6591" w:rsidRDefault="00AC6591">
      <w:pPr>
        <w:spacing w:after="0"/>
      </w:pPr>
    </w:p>
    <w:p w14:paraId="0F787A02" w14:textId="77777777" w:rsidR="00AC6591" w:rsidRDefault="00124CA7">
      <w:r>
        <w:t>Ukupni prihodi poslovanja su 1208606,12 eura, a rashodi 1288661,21 eura što izravno dovodi do manjka prihoda poslovanja. </w:t>
      </w:r>
    </w:p>
    <w:p w14:paraId="1BED4551" w14:textId="77777777" w:rsidR="00AC6591" w:rsidRDefault="00124CA7">
      <w:r>
        <w:t>Radi se o metodološkom manjku koji je nastao kao izravna posljedica nove sheme knjiženja plaće koja je stupila na snagu 1.1.2025. te u</w:t>
      </w:r>
      <w:r>
        <w:t xml:space="preserve">mjesto na kontinuirane rashode budućih razdoblja na kontu 193, sada imamo knjiženja gdje evidentiramo 12 prihoda, a 13 rashoda. Tu nastaje velik manjak koji je nestao knjiženjem prihoda od MZO za plaće 9.1.2026., ali opet ne u </w:t>
      </w:r>
      <w:r>
        <w:lastRenderedPageBreak/>
        <w:t>potpunosti jer na kraju godin</w:t>
      </w:r>
      <w:r>
        <w:t>e će trošak plaće biti evidentiran u prosincu tekuće godine, a prihod tek očekujemo 1/2027.</w:t>
      </w:r>
    </w:p>
    <w:p w14:paraId="7888FCCE" w14:textId="77777777" w:rsidR="00AC6591" w:rsidRDefault="00124CA7">
      <w:r>
        <w:t xml:space="preserve">Također, kako za Erasmus + projekte ne dobivamo iznos u cijelosti, trošio se i preneseni višak tog istog Erasmus + projekta koji se </w:t>
      </w:r>
      <w:proofErr w:type="spellStart"/>
      <w:r>
        <w:t>uprihodovao</w:t>
      </w:r>
      <w:proofErr w:type="spellEnd"/>
      <w:r>
        <w:t xml:space="preserve"> tijekom 2024. godine</w:t>
      </w:r>
      <w:r>
        <w:t xml:space="preserve"> kao i nešto vlastitih prihoda.</w:t>
      </w:r>
    </w:p>
    <w:p w14:paraId="3A575682" w14:textId="77777777" w:rsidR="00AC6591" w:rsidRDefault="00124CA7">
      <w:r>
        <w:t xml:space="preserve">Što se tiče manjka prihoda od nefinancijske, radi se provedenom knjiženju korekcije rezultata, što smo </w:t>
      </w:r>
      <w:proofErr w:type="spellStart"/>
      <w:r>
        <w:t>uprihodovali</w:t>
      </w:r>
      <w:proofErr w:type="spellEnd"/>
      <w:r>
        <w:t xml:space="preserve"> od Osnivača, a utrošili na imovinu, to je prikazano na tom kontu i objašnjava pojavljivanje ovog iznosa.</w:t>
      </w:r>
    </w:p>
    <w:p w14:paraId="439E93D1" w14:textId="77777777" w:rsidR="00AC6591" w:rsidRDefault="00124CA7">
      <w:r>
        <w:br/>
      </w:r>
    </w:p>
    <w:p w14:paraId="3599838E" w14:textId="77777777" w:rsidR="00AC6591" w:rsidRDefault="00124CA7">
      <w:pPr>
        <w:keepNext/>
        <w:spacing w:line="240" w:lineRule="auto"/>
        <w:jc w:val="center"/>
      </w:pPr>
      <w:r>
        <w:rPr>
          <w:b/>
          <w:sz w:val="28"/>
        </w:rPr>
        <w:t>I</w:t>
      </w:r>
      <w:r>
        <w:rPr>
          <w:b/>
          <w:sz w:val="28"/>
        </w:rPr>
        <w:t>zvještaj o obvezama</w:t>
      </w:r>
    </w:p>
    <w:p w14:paraId="5D58B520" w14:textId="77777777" w:rsidR="00AC6591" w:rsidRDefault="00124CA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C6591" w14:paraId="64659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984F6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EA044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734D0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1B673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13E09" w14:textId="77777777" w:rsidR="00AC6591" w:rsidRDefault="00124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591" w14:paraId="19AA0F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F38BC" w14:textId="77777777" w:rsidR="00AC6591" w:rsidRDefault="00AC65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039DF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8F4FB" w14:textId="77777777" w:rsidR="00AC6591" w:rsidRDefault="00124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B1A47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BC825" w14:textId="77777777" w:rsidR="00AC6591" w:rsidRDefault="00124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2850B1" w14:textId="77777777" w:rsidR="00AC6591" w:rsidRDefault="00AC6591">
      <w:pPr>
        <w:spacing w:after="0"/>
      </w:pPr>
    </w:p>
    <w:p w14:paraId="21AC5EE9" w14:textId="77777777" w:rsidR="00AC6591" w:rsidRDefault="00124CA7">
      <w:r>
        <w:t xml:space="preserve">Stanje dospjelih obveza na dan 31.12.2025. godine je 0,00 eura, obzirom da smo svoje obveze podmirili </w:t>
      </w:r>
      <w:proofErr w:type="spellStart"/>
      <w:r>
        <w:t>poštivajući</w:t>
      </w:r>
      <w:proofErr w:type="spellEnd"/>
      <w:r>
        <w:t xml:space="preserve"> naznačene valute.</w:t>
      </w:r>
    </w:p>
    <w:p w14:paraId="6CC1C47E" w14:textId="77777777" w:rsidR="00AC6591" w:rsidRDefault="00AC6591"/>
    <w:p w14:paraId="609C0A49" w14:textId="77777777" w:rsidR="00AC6591" w:rsidRDefault="00124CA7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D437DBE" w14:textId="77777777" w:rsidR="00AC6591" w:rsidRDefault="00124CA7">
      <w:pPr>
        <w:spacing w:line="240" w:lineRule="auto"/>
        <w:jc w:val="both"/>
      </w:pPr>
      <w:r>
        <w:rPr>
          <w:b/>
        </w:rPr>
        <w:t>EU izvještaj</w:t>
      </w:r>
    </w:p>
    <w:p w14:paraId="013BB918" w14:textId="77777777" w:rsidR="00AC6591" w:rsidRDefault="00124CA7">
      <w:r>
        <w:t>U srpnju 2025. godine, primili smo 80 % za Erasmus + nazvan 'Let u budućnost : Održivost, digitali</w:t>
      </w:r>
      <w:r>
        <w:t>zacija i mentalno zdravlje u zrakoplovstvu' pod projektnim brojem 2025-1-HR01-KA122-VET-000343336 u iznosu 21601,60 eura, te tijekom 2025.godine nismo imali troškova po tom projektu, planirano je izvršenje tijekom 2026. godine. Ovaj je projekt knjižen prem</w:t>
      </w:r>
      <w:r>
        <w:t>a uputama dobivenim od nadležnih tijela.</w:t>
      </w:r>
    </w:p>
    <w:p w14:paraId="6B3883BD" w14:textId="77777777" w:rsidR="00AC6591" w:rsidRDefault="00124CA7">
      <w:r>
        <w:t xml:space="preserve">Za Erasmus + projekt iz 2024. godine pod nazivom 'Fit </w:t>
      </w:r>
      <w:proofErr w:type="spellStart"/>
      <w:r>
        <w:t>aviators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for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', projektni broj 2024-1-HR01-KA122-VET-000238652, tijekom 2025. godine imali smo troškove stručnog usavršavanja i inozemnih </w:t>
      </w:r>
      <w:r>
        <w:t xml:space="preserve">dnevnica, te intelektualne usluge zrakoplovnim tvrtkama kod kojih su naši učenici bili primljeni za učenje i praktičnu nastavu, te na samom kraju godine, u prosincu, naš projekt završava i dobivamo pozitivne rezultate evaluacije završnog izvješća, i drugu </w:t>
      </w:r>
      <w:r>
        <w:t>uplatu u iznosu od 13798,00 eura.</w:t>
      </w:r>
    </w:p>
    <w:p w14:paraId="7222E870" w14:textId="77777777" w:rsidR="00AC6591" w:rsidRDefault="00AC6591"/>
    <w:sectPr w:rsidR="00AC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91"/>
    <w:rsid w:val="00124CA7"/>
    <w:rsid w:val="00A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24A1"/>
  <w15:docId w15:val="{7A649EE3-DC51-4555-AA2C-0FABAE00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Vidović</cp:lastModifiedBy>
  <cp:revision>2</cp:revision>
  <dcterms:created xsi:type="dcterms:W3CDTF">2026-02-03T13:38:00Z</dcterms:created>
  <dcterms:modified xsi:type="dcterms:W3CDTF">2026-02-03T13:38:00Z</dcterms:modified>
</cp:coreProperties>
</file>